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83" w:rsidRPr="00EA1D02" w:rsidRDefault="00EA1D02" w:rsidP="00C96383">
      <w:pPr>
        <w:jc w:val="center"/>
        <w:rPr>
          <w:rFonts w:ascii="微软雅黑" w:eastAsia="微软雅黑" w:hAnsi="微软雅黑"/>
          <w:b/>
          <w:bCs/>
          <w:sz w:val="40"/>
          <w:szCs w:val="48"/>
        </w:rPr>
      </w:pPr>
      <w:r w:rsidRPr="008A6AA7">
        <w:rPr>
          <w:rFonts w:ascii="微软雅黑" w:eastAsia="微软雅黑" w:hAnsi="微软雅黑"/>
          <w:b/>
          <w:bCs/>
          <w:sz w:val="40"/>
          <w:szCs w:val="48"/>
        </w:rPr>
        <w:t>【</w:t>
      </w:r>
      <w:r>
        <w:rPr>
          <w:rFonts w:ascii="微软雅黑" w:eastAsia="微软雅黑" w:hAnsi="微软雅黑" w:hint="eastAsia"/>
          <w:b/>
          <w:bCs/>
          <w:sz w:val="40"/>
          <w:szCs w:val="48"/>
        </w:rPr>
        <w:t>中医科</w:t>
      </w:r>
      <w:r w:rsidRPr="008A6AA7">
        <w:rPr>
          <w:rFonts w:ascii="微软雅黑" w:eastAsia="微软雅黑" w:hAnsi="微软雅黑"/>
          <w:b/>
          <w:bCs/>
          <w:sz w:val="40"/>
          <w:szCs w:val="48"/>
        </w:rPr>
        <w:t>】</w:t>
      </w:r>
      <w:r>
        <w:rPr>
          <w:rFonts w:ascii="微软雅黑" w:eastAsia="微软雅黑" w:hAnsi="微软雅黑" w:hint="eastAsia"/>
          <w:b/>
          <w:bCs/>
          <w:sz w:val="40"/>
          <w:szCs w:val="48"/>
        </w:rPr>
        <w:t>端午香囊-祛邪避秽，芳香清瘟</w:t>
      </w:r>
    </w:p>
    <w:p w:rsidR="00F6305C" w:rsidRPr="00EA1D02" w:rsidRDefault="00F6305C" w:rsidP="00F6305C">
      <w:pPr>
        <w:spacing w:line="360" w:lineRule="auto"/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  <w:noProof/>
        </w:rPr>
        <w:drawing>
          <wp:inline distT="0" distB="0" distL="0" distR="0">
            <wp:extent cx="3857625" cy="819150"/>
            <wp:effectExtent l="19050" t="0" r="9525" b="0"/>
            <wp:docPr id="1" name="图片 1" descr="C:\Users\stor.XMMM\Desktop\端午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r.XMMM\Desktop\端午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001" w:rsidRPr="00EA1D02" w:rsidRDefault="00360655" w:rsidP="00EA1D02">
      <w:pPr>
        <w:spacing w:line="360" w:lineRule="auto"/>
        <w:ind w:firstLineChars="150" w:firstLine="420"/>
        <w:rPr>
          <w:rFonts w:ascii="华文楷体" w:eastAsia="华文楷体" w:hAnsi="华文楷体"/>
          <w:sz w:val="28"/>
          <w:szCs w:val="28"/>
        </w:rPr>
      </w:pPr>
      <w:r w:rsidRPr="00EA1D02">
        <w:rPr>
          <w:rFonts w:ascii="华文楷体" w:eastAsia="华文楷体" w:hAnsi="华文楷体" w:hint="eastAsia"/>
          <w:sz w:val="28"/>
          <w:szCs w:val="28"/>
        </w:rPr>
        <w:t>中药香囊</w:t>
      </w:r>
      <w:r w:rsidR="00112001" w:rsidRPr="00EA1D02">
        <w:rPr>
          <w:rFonts w:ascii="华文楷体" w:eastAsia="华文楷体" w:hAnsi="华文楷体" w:hint="eastAsia"/>
          <w:sz w:val="28"/>
          <w:szCs w:val="28"/>
        </w:rPr>
        <w:t>是中国</w:t>
      </w:r>
      <w:r w:rsidRPr="00EA1D02">
        <w:rPr>
          <w:rFonts w:ascii="华文楷体" w:eastAsia="华文楷体" w:hAnsi="华文楷体" w:hint="eastAsia"/>
          <w:sz w:val="28"/>
          <w:szCs w:val="28"/>
        </w:rPr>
        <w:t>祛邪避秽的传统方法，是将芳香药末装入特制布袋中佩挂身上，借药味挥发以防治疾病的方法。</w:t>
      </w:r>
      <w:r w:rsidR="001927EA" w:rsidRPr="00EA1D02">
        <w:rPr>
          <w:rFonts w:ascii="华文楷体" w:eastAsia="华文楷体" w:hAnsi="华文楷体" w:hint="eastAsia"/>
          <w:sz w:val="28"/>
          <w:szCs w:val="28"/>
        </w:rPr>
        <w:t>根据中医学理论，芳香能散、能行、能开。具有化湿、避秽、开窍、醒脾</w:t>
      </w:r>
      <w:r w:rsidR="00B67230">
        <w:rPr>
          <w:rFonts w:ascii="华文楷体" w:eastAsia="华文楷体" w:hAnsi="华文楷体" w:hint="eastAsia"/>
          <w:sz w:val="28"/>
          <w:szCs w:val="28"/>
        </w:rPr>
        <w:t>的功效</w:t>
      </w:r>
      <w:r w:rsidR="001927EA" w:rsidRPr="00EA1D02">
        <w:rPr>
          <w:rFonts w:ascii="华文楷体" w:eastAsia="华文楷体" w:hAnsi="华文楷体" w:hint="eastAsia"/>
          <w:sz w:val="28"/>
          <w:szCs w:val="28"/>
        </w:rPr>
        <w:t>。比如：具有芳香味的藿香能化湿，薄荷能够避秽。芳香类中药制成香囊内容物，经口鼻吸入，可对人体</w:t>
      </w:r>
      <w:r w:rsidR="00B67230">
        <w:rPr>
          <w:rFonts w:ascii="华文楷体" w:eastAsia="华文楷体" w:hAnsi="华文楷体" w:hint="eastAsia"/>
          <w:sz w:val="28"/>
          <w:szCs w:val="28"/>
        </w:rPr>
        <w:t>的机能</w:t>
      </w:r>
      <w:r w:rsidR="001927EA" w:rsidRPr="00EA1D02">
        <w:rPr>
          <w:rFonts w:ascii="华文楷体" w:eastAsia="华文楷体" w:hAnsi="华文楷体" w:hint="eastAsia"/>
          <w:sz w:val="28"/>
          <w:szCs w:val="28"/>
        </w:rPr>
        <w:t>进行整体调节。现代医学研究</w:t>
      </w:r>
      <w:r w:rsidR="00B67230">
        <w:rPr>
          <w:rFonts w:ascii="华文楷体" w:eastAsia="华文楷体" w:hAnsi="华文楷体" w:hint="eastAsia"/>
          <w:sz w:val="28"/>
          <w:szCs w:val="28"/>
        </w:rPr>
        <w:t>也证明</w:t>
      </w:r>
      <w:r w:rsidR="001927EA" w:rsidRPr="00EA1D02">
        <w:rPr>
          <w:rFonts w:ascii="华文楷体" w:eastAsia="华文楷体" w:hAnsi="华文楷体" w:hint="eastAsia"/>
          <w:sz w:val="28"/>
          <w:szCs w:val="28"/>
        </w:rPr>
        <w:t>芳香药具有一定抑菌、抗病毒的效果。故此次</w:t>
      </w:r>
      <w:r w:rsidR="00B67230">
        <w:rPr>
          <w:rFonts w:ascii="华文楷体" w:eastAsia="华文楷体" w:hAnsi="华文楷体" w:hint="eastAsia"/>
          <w:sz w:val="28"/>
          <w:szCs w:val="28"/>
        </w:rPr>
        <w:t>抗击</w:t>
      </w:r>
      <w:r w:rsidR="001927EA" w:rsidRPr="00EA1D02">
        <w:rPr>
          <w:rFonts w:ascii="华文楷体" w:eastAsia="华文楷体" w:hAnsi="华文楷体" w:hint="eastAsia"/>
          <w:sz w:val="28"/>
          <w:szCs w:val="28"/>
        </w:rPr>
        <w:t>新冠肺炎</w:t>
      </w:r>
      <w:r w:rsidR="00B67230">
        <w:rPr>
          <w:rFonts w:ascii="华文楷体" w:eastAsia="华文楷体" w:hAnsi="华文楷体" w:hint="eastAsia"/>
          <w:sz w:val="28"/>
          <w:szCs w:val="28"/>
        </w:rPr>
        <w:t>中</w:t>
      </w:r>
      <w:r w:rsidR="001927EA" w:rsidRPr="00EA1D02">
        <w:rPr>
          <w:rFonts w:ascii="华文楷体" w:eastAsia="华文楷体" w:hAnsi="华文楷体" w:hint="eastAsia"/>
          <w:sz w:val="28"/>
          <w:szCs w:val="28"/>
        </w:rPr>
        <w:t>，国家中医药管理局，结合临床配伍了因地制宜的预防香囊。</w:t>
      </w:r>
    </w:p>
    <w:p w:rsidR="001927EA" w:rsidRPr="00EA1D02" w:rsidRDefault="001927EA" w:rsidP="00EA1D02">
      <w:pPr>
        <w:spacing w:line="360" w:lineRule="auto"/>
        <w:ind w:firstLineChars="100" w:firstLine="280"/>
        <w:rPr>
          <w:rFonts w:ascii="华文楷体" w:eastAsia="华文楷体" w:hAnsi="华文楷体"/>
          <w:sz w:val="28"/>
          <w:szCs w:val="28"/>
        </w:rPr>
      </w:pPr>
      <w:r w:rsidRPr="00EA1D02">
        <w:rPr>
          <w:rFonts w:ascii="华文楷体" w:eastAsia="华文楷体" w:hAnsi="华文楷体" w:hint="eastAsia"/>
          <w:sz w:val="28"/>
          <w:szCs w:val="28"/>
        </w:rPr>
        <w:t xml:space="preserve"> 厦门长庚中医经两岸中医专家共同研拟</w:t>
      </w:r>
      <w:r w:rsidR="00B67230">
        <w:rPr>
          <w:rFonts w:ascii="华文楷体" w:eastAsia="华文楷体" w:hAnsi="华文楷体" w:hint="eastAsia"/>
          <w:sz w:val="28"/>
          <w:szCs w:val="28"/>
        </w:rPr>
        <w:t>了适合厦门闽南一带</w:t>
      </w:r>
      <w:r w:rsidRPr="00EA1D02">
        <w:rPr>
          <w:rFonts w:ascii="华文楷体" w:eastAsia="华文楷体" w:hAnsi="华文楷体" w:hint="eastAsia"/>
          <w:sz w:val="28"/>
          <w:szCs w:val="28"/>
        </w:rPr>
        <w:t>春夏</w:t>
      </w:r>
      <w:r w:rsidR="00B67230">
        <w:rPr>
          <w:rFonts w:ascii="华文楷体" w:eastAsia="华文楷体" w:hAnsi="华文楷体" w:hint="eastAsia"/>
          <w:sz w:val="28"/>
          <w:szCs w:val="28"/>
        </w:rPr>
        <w:t>季节</w:t>
      </w:r>
      <w:r w:rsidRPr="00EA1D02">
        <w:rPr>
          <w:rFonts w:ascii="华文楷体" w:eastAsia="华文楷体" w:hAnsi="华文楷体" w:hint="eastAsia"/>
          <w:sz w:val="28"/>
          <w:szCs w:val="28"/>
        </w:rPr>
        <w:t>的香囊，针对疫情</w:t>
      </w:r>
      <w:r w:rsidR="008931BE" w:rsidRPr="00EA1D02">
        <w:rPr>
          <w:rFonts w:ascii="华文楷体" w:eastAsia="华文楷体" w:hAnsi="华文楷体" w:hint="eastAsia"/>
          <w:sz w:val="28"/>
          <w:szCs w:val="28"/>
        </w:rPr>
        <w:t>、针对闽南湿气重、湿热重的特点，开发数种特制香囊，达到预防疾病的效果。</w:t>
      </w:r>
    </w:p>
    <w:p w:rsidR="00F6305C" w:rsidRPr="00EA1D02" w:rsidRDefault="008931BE" w:rsidP="00F6305C">
      <w:pPr>
        <w:spacing w:line="360" w:lineRule="auto"/>
        <w:ind w:firstLineChars="100" w:firstLine="280"/>
        <w:rPr>
          <w:rFonts w:ascii="华文楷体" w:eastAsia="华文楷体" w:hAnsi="华文楷体"/>
          <w:sz w:val="28"/>
          <w:szCs w:val="28"/>
        </w:rPr>
      </w:pPr>
      <w:r w:rsidRPr="00EA1D02">
        <w:rPr>
          <w:rFonts w:ascii="华文楷体" w:eastAsia="华文楷体" w:hAnsi="华文楷体" w:hint="eastAsia"/>
          <w:sz w:val="28"/>
          <w:szCs w:val="28"/>
        </w:rPr>
        <w:t xml:space="preserve"> 温馨提醒，香囊适合用于大部分人佩戴，但有</w:t>
      </w:r>
      <w:r w:rsidR="00B67230">
        <w:rPr>
          <w:rFonts w:ascii="华文楷体" w:eastAsia="华文楷体" w:hAnsi="华文楷体" w:hint="eastAsia"/>
          <w:sz w:val="28"/>
          <w:szCs w:val="28"/>
        </w:rPr>
        <w:t>以下情况不宜使用，具有活血化瘀走串的中药，不适合孕妇</w:t>
      </w:r>
      <w:r w:rsidRPr="00EA1D02">
        <w:rPr>
          <w:rFonts w:ascii="华文楷体" w:eastAsia="华文楷体" w:hAnsi="华文楷体" w:hint="eastAsia"/>
          <w:sz w:val="28"/>
          <w:szCs w:val="28"/>
        </w:rPr>
        <w:t>。一般情况下，香囊放在身上、车内、办公室或家庭居室都可以。香囊只能作为辅助治疗应用，生病后还是要配合内</w:t>
      </w:r>
      <w:r w:rsidR="00B67230">
        <w:rPr>
          <w:rFonts w:ascii="华文楷体" w:eastAsia="华文楷体" w:hAnsi="华文楷体" w:hint="eastAsia"/>
          <w:sz w:val="28"/>
          <w:szCs w:val="28"/>
        </w:rPr>
        <w:t>服、外用药等疗法，</w:t>
      </w:r>
      <w:r w:rsidRPr="00EA1D02">
        <w:rPr>
          <w:rFonts w:ascii="华文楷体" w:eastAsia="华文楷体" w:hAnsi="华文楷体" w:hint="eastAsia"/>
          <w:sz w:val="28"/>
          <w:szCs w:val="28"/>
        </w:rPr>
        <w:t>同时注意保健和锻炼。</w:t>
      </w:r>
    </w:p>
    <w:p w:rsidR="00304CB1" w:rsidRPr="00EA1D02" w:rsidRDefault="00304CB1" w:rsidP="009E09D3">
      <w:pPr>
        <w:spacing w:line="360" w:lineRule="auto"/>
        <w:ind w:firstLineChars="150" w:firstLine="420"/>
        <w:rPr>
          <w:rFonts w:ascii="华文楷体" w:eastAsia="华文楷体" w:hAnsi="华文楷体"/>
          <w:sz w:val="28"/>
          <w:szCs w:val="28"/>
        </w:rPr>
      </w:pPr>
      <w:r w:rsidRPr="00EA1D02">
        <w:rPr>
          <w:rFonts w:ascii="华文楷体" w:eastAsia="华文楷体" w:hAnsi="华文楷体" w:hint="eastAsia"/>
          <w:sz w:val="28"/>
          <w:szCs w:val="28"/>
        </w:rPr>
        <w:t>时间：2020.06.15-2020.07.</w:t>
      </w:r>
      <w:r w:rsidR="006A2EBC" w:rsidRPr="00EA1D02">
        <w:rPr>
          <w:rFonts w:ascii="华文楷体" w:eastAsia="华文楷体" w:hAnsi="华文楷体" w:hint="eastAsia"/>
          <w:sz w:val="28"/>
          <w:szCs w:val="28"/>
        </w:rPr>
        <w:t>10</w:t>
      </w:r>
      <w:r w:rsidR="003C7DF6" w:rsidRPr="00EA1D02">
        <w:rPr>
          <w:rFonts w:ascii="华文楷体" w:eastAsia="华文楷体" w:hAnsi="华文楷体" w:hint="eastAsia"/>
          <w:sz w:val="28"/>
          <w:szCs w:val="28"/>
        </w:rPr>
        <w:t>·</w:t>
      </w:r>
      <w:r w:rsidRPr="00EA1D02">
        <w:rPr>
          <w:rFonts w:ascii="华文楷体" w:eastAsia="华文楷体" w:hAnsi="华文楷体" w:hint="eastAsia"/>
          <w:sz w:val="28"/>
          <w:szCs w:val="28"/>
        </w:rPr>
        <w:t>（端午节期间）</w:t>
      </w:r>
    </w:p>
    <w:p w:rsidR="00304CB1" w:rsidRPr="00EA1D02" w:rsidRDefault="00304CB1" w:rsidP="009E09D3">
      <w:pPr>
        <w:spacing w:line="360" w:lineRule="auto"/>
        <w:ind w:firstLineChars="150" w:firstLine="420"/>
        <w:rPr>
          <w:rFonts w:ascii="华文楷体" w:eastAsia="华文楷体" w:hAnsi="华文楷体"/>
          <w:sz w:val="28"/>
          <w:szCs w:val="28"/>
        </w:rPr>
      </w:pPr>
      <w:r w:rsidRPr="00EA1D02">
        <w:rPr>
          <w:rFonts w:ascii="华文楷体" w:eastAsia="华文楷体" w:hAnsi="华文楷体" w:hint="eastAsia"/>
          <w:sz w:val="28"/>
          <w:szCs w:val="28"/>
        </w:rPr>
        <w:t>品项</w:t>
      </w:r>
      <w:r w:rsidR="009E09D3">
        <w:rPr>
          <w:rFonts w:ascii="华文楷体" w:eastAsia="华文楷体" w:hAnsi="华文楷体" w:hint="eastAsia"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1241"/>
        <w:gridCol w:w="1561"/>
        <w:gridCol w:w="2690"/>
        <w:gridCol w:w="1983"/>
        <w:gridCol w:w="1047"/>
      </w:tblGrid>
      <w:tr w:rsidR="00304CB1" w:rsidRPr="00EA1D02" w:rsidTr="00C01316">
        <w:tc>
          <w:tcPr>
            <w:tcW w:w="1241" w:type="dxa"/>
          </w:tcPr>
          <w:p w:rsidR="00304CB1" w:rsidRPr="00EA1D02" w:rsidRDefault="00304CB1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</w:tcPr>
          <w:p w:rsidR="00304CB1" w:rsidRPr="00EA1D02" w:rsidRDefault="00304CB1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品名</w:t>
            </w:r>
          </w:p>
        </w:tc>
        <w:tc>
          <w:tcPr>
            <w:tcW w:w="2690" w:type="dxa"/>
            <w:tcBorders>
              <w:right w:val="single" w:sz="4" w:space="0" w:color="auto"/>
            </w:tcBorders>
          </w:tcPr>
          <w:p w:rsidR="00304CB1" w:rsidRPr="00EA1D02" w:rsidRDefault="00304CB1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效用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04CB1" w:rsidRPr="00EA1D02" w:rsidRDefault="00304CB1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适应症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304CB1" w:rsidRPr="00EA1D02" w:rsidRDefault="00C01316" w:rsidP="00304CB1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备注</w:t>
            </w:r>
          </w:p>
        </w:tc>
      </w:tr>
      <w:tr w:rsidR="00C01316" w:rsidRPr="00EA1D02" w:rsidTr="00C01316">
        <w:trPr>
          <w:trHeight w:val="600"/>
        </w:trPr>
        <w:tc>
          <w:tcPr>
            <w:tcW w:w="1241" w:type="dxa"/>
            <w:tcBorders>
              <w:bottom w:val="single" w:sz="4" w:space="0" w:color="auto"/>
            </w:tcBorders>
          </w:tcPr>
          <w:p w:rsidR="00C01316" w:rsidRPr="00EA1D02" w:rsidRDefault="00C01316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01316" w:rsidRPr="00EA1D02" w:rsidRDefault="00C01316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醒脾香囊</w:t>
            </w: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</w:tcPr>
          <w:p w:rsidR="00C01316" w:rsidRPr="00EA1D02" w:rsidRDefault="00C01316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芳香化湿、健脾益气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0" w:rsidRDefault="00B67230" w:rsidP="0011200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B67230">
              <w:rPr>
                <w:rFonts w:ascii="华文楷体" w:eastAsia="华文楷体" w:hAnsi="华文楷体" w:hint="eastAsia"/>
                <w:szCs w:val="21"/>
              </w:rPr>
              <w:t>倦怠、嗜卧、</w:t>
            </w:r>
          </w:p>
          <w:p w:rsidR="00C01316" w:rsidRPr="00B67230" w:rsidRDefault="00C01316" w:rsidP="0011200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B67230">
              <w:rPr>
                <w:rFonts w:ascii="华文楷体" w:eastAsia="华文楷体" w:hAnsi="华文楷体" w:hint="eastAsia"/>
                <w:szCs w:val="21"/>
              </w:rPr>
              <w:t>食欲差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</w:tcBorders>
          </w:tcPr>
          <w:p w:rsidR="00C01316" w:rsidRPr="00EA1D02" w:rsidRDefault="00C01316" w:rsidP="00304CB1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C01316" w:rsidRPr="00EA1D02" w:rsidTr="005C79DA">
        <w:trPr>
          <w:trHeight w:val="645"/>
        </w:trPr>
        <w:tc>
          <w:tcPr>
            <w:tcW w:w="1241" w:type="dxa"/>
            <w:tcBorders>
              <w:top w:val="single" w:sz="4" w:space="0" w:color="auto"/>
            </w:tcBorders>
          </w:tcPr>
          <w:p w:rsidR="00C01316" w:rsidRPr="00EA1D02" w:rsidRDefault="00C01316" w:rsidP="003F307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组成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01316" w:rsidRPr="00EA1D02" w:rsidRDefault="00C01316" w:rsidP="00190747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苍术、藿香、陈皮、石菖蒲</w:t>
            </w:r>
            <w:r w:rsidR="007D6064" w:rsidRPr="00EA1D02">
              <w:rPr>
                <w:rFonts w:ascii="华文楷体" w:eastAsia="华文楷体" w:hAnsi="华文楷体" w:hint="eastAsia"/>
                <w:sz w:val="24"/>
                <w:szCs w:val="24"/>
              </w:rPr>
              <w:t>、丁香</w:t>
            </w:r>
            <w:r w:rsidR="00B67230">
              <w:rPr>
                <w:rFonts w:ascii="华文楷体" w:eastAsia="华文楷体" w:hAnsi="华文楷体" w:hint="eastAsia"/>
                <w:sz w:val="24"/>
                <w:szCs w:val="24"/>
              </w:rPr>
              <w:t>等</w:t>
            </w:r>
          </w:p>
        </w:tc>
        <w:tc>
          <w:tcPr>
            <w:tcW w:w="1047" w:type="dxa"/>
            <w:vMerge/>
            <w:tcBorders>
              <w:left w:val="single" w:sz="4" w:space="0" w:color="auto"/>
            </w:tcBorders>
          </w:tcPr>
          <w:p w:rsidR="00C01316" w:rsidRPr="00EA1D02" w:rsidRDefault="00C01316" w:rsidP="00304CB1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3F3075" w:rsidRPr="00EA1D02" w:rsidTr="003F3075">
        <w:trPr>
          <w:trHeight w:val="570"/>
        </w:trPr>
        <w:tc>
          <w:tcPr>
            <w:tcW w:w="1241" w:type="dxa"/>
            <w:tcBorders>
              <w:bottom w:val="single" w:sz="4" w:space="0" w:color="auto"/>
            </w:tcBorders>
          </w:tcPr>
          <w:p w:rsidR="003F3075" w:rsidRPr="00EA1D02" w:rsidRDefault="003F3075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F3075" w:rsidRPr="00EA1D02" w:rsidRDefault="00B67230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防蚊</w:t>
            </w:r>
            <w:r w:rsidR="003F3075" w:rsidRPr="00EA1D02">
              <w:rPr>
                <w:rFonts w:ascii="华文楷体" w:eastAsia="华文楷体" w:hAnsi="华文楷体" w:hint="eastAsia"/>
                <w:sz w:val="24"/>
                <w:szCs w:val="24"/>
              </w:rPr>
              <w:t>香囊</w:t>
            </w: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</w:tcPr>
          <w:p w:rsidR="003F3075" w:rsidRPr="00EA1D02" w:rsidRDefault="003F3075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祛虫避蚊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75" w:rsidRPr="00EA1D02" w:rsidRDefault="003F3075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防范蚊虫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</w:tcBorders>
          </w:tcPr>
          <w:p w:rsidR="003F3075" w:rsidRPr="00EA1D02" w:rsidRDefault="003F3075" w:rsidP="003F3075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3F3075" w:rsidRPr="00EA1D02" w:rsidTr="003F3075">
        <w:trPr>
          <w:trHeight w:val="637"/>
        </w:trPr>
        <w:tc>
          <w:tcPr>
            <w:tcW w:w="1241" w:type="dxa"/>
            <w:tcBorders>
              <w:top w:val="single" w:sz="4" w:space="0" w:color="auto"/>
            </w:tcBorders>
          </w:tcPr>
          <w:p w:rsidR="003F3075" w:rsidRPr="00EA1D02" w:rsidRDefault="003F3075" w:rsidP="003F307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组成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F3075" w:rsidRPr="00EA1D02" w:rsidRDefault="003F3075" w:rsidP="00190747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藿香、白芷、薄荷、苍术、艾叶、</w:t>
            </w:r>
            <w:r w:rsidR="007D6064" w:rsidRPr="00EA1D02">
              <w:rPr>
                <w:rFonts w:ascii="华文楷体" w:eastAsia="华文楷体" w:hAnsi="华文楷体" w:hint="eastAsia"/>
                <w:sz w:val="24"/>
                <w:szCs w:val="24"/>
              </w:rPr>
              <w:t>佩兰</w:t>
            </w:r>
            <w:r w:rsidR="00B67230">
              <w:rPr>
                <w:rFonts w:ascii="华文楷体" w:eastAsia="华文楷体" w:hAnsi="华文楷体" w:hint="eastAsia"/>
                <w:sz w:val="24"/>
                <w:szCs w:val="24"/>
              </w:rPr>
              <w:t>等</w:t>
            </w:r>
          </w:p>
        </w:tc>
        <w:tc>
          <w:tcPr>
            <w:tcW w:w="1047" w:type="dxa"/>
            <w:vMerge/>
            <w:tcBorders>
              <w:left w:val="single" w:sz="4" w:space="0" w:color="auto"/>
            </w:tcBorders>
          </w:tcPr>
          <w:p w:rsidR="003F3075" w:rsidRPr="00EA1D02" w:rsidRDefault="003F3075" w:rsidP="00304CB1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D6064" w:rsidRPr="00EA1D02" w:rsidTr="007D6064">
        <w:trPr>
          <w:trHeight w:val="600"/>
        </w:trPr>
        <w:tc>
          <w:tcPr>
            <w:tcW w:w="1241" w:type="dxa"/>
            <w:tcBorders>
              <w:bottom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防疫囊</w:t>
            </w: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</w:tcPr>
          <w:p w:rsidR="007D6064" w:rsidRPr="00EA1D02" w:rsidRDefault="00EA1D02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祛邪避秽，芳香清瘟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防疫方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D6064" w:rsidRPr="00EA1D02" w:rsidTr="00293603">
        <w:trPr>
          <w:trHeight w:val="575"/>
        </w:trPr>
        <w:tc>
          <w:tcPr>
            <w:tcW w:w="1241" w:type="dxa"/>
            <w:tcBorders>
              <w:top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组成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6064" w:rsidRPr="00EA1D02" w:rsidRDefault="00190747" w:rsidP="00190747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艾叶、藿香、薄荷、佩兰、苍术、木香</w:t>
            </w:r>
            <w:r w:rsidR="00B67230">
              <w:rPr>
                <w:rFonts w:ascii="华文楷体" w:eastAsia="华文楷体" w:hAnsi="华文楷体" w:hint="eastAsia"/>
                <w:sz w:val="24"/>
                <w:szCs w:val="24"/>
              </w:rPr>
              <w:t>等</w:t>
            </w:r>
          </w:p>
        </w:tc>
        <w:tc>
          <w:tcPr>
            <w:tcW w:w="1047" w:type="dxa"/>
            <w:vMerge/>
            <w:tcBorders>
              <w:left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D6064" w:rsidRPr="00EA1D02" w:rsidTr="007D6064">
        <w:trPr>
          <w:trHeight w:val="540"/>
        </w:trPr>
        <w:tc>
          <w:tcPr>
            <w:tcW w:w="1241" w:type="dxa"/>
            <w:tcBorders>
              <w:bottom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鼻炎囊</w:t>
            </w: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</w:tcPr>
          <w:p w:rsidR="007D6064" w:rsidRPr="00EA1D02" w:rsidRDefault="00011D1F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醒鼻</w:t>
            </w:r>
            <w:r w:rsidR="00EA1D02" w:rsidRPr="00EA1D02">
              <w:rPr>
                <w:rFonts w:ascii="华文楷体" w:eastAsia="华文楷体" w:hAnsi="华文楷体" w:hint="eastAsia"/>
                <w:sz w:val="24"/>
                <w:szCs w:val="24"/>
              </w:rPr>
              <w:t>通</w:t>
            </w:r>
            <w:r w:rsidR="006C7FA5" w:rsidRPr="00EA1D02">
              <w:rPr>
                <w:rFonts w:ascii="华文楷体" w:eastAsia="华文楷体" w:hAnsi="华文楷体" w:hint="eastAsia"/>
                <w:sz w:val="24"/>
                <w:szCs w:val="24"/>
              </w:rPr>
              <w:t>窍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4" w:rsidRPr="00EA1D02" w:rsidRDefault="00190747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各种</w:t>
            </w:r>
            <w:r w:rsidR="00011D1F" w:rsidRPr="00EA1D02">
              <w:rPr>
                <w:rFonts w:ascii="华文楷体" w:eastAsia="华文楷体" w:hAnsi="华文楷体" w:hint="eastAsia"/>
                <w:sz w:val="24"/>
                <w:szCs w:val="24"/>
              </w:rPr>
              <w:t>鼻炎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D6064" w:rsidRPr="00EA1D02" w:rsidTr="002F19BF">
        <w:trPr>
          <w:trHeight w:val="496"/>
        </w:trPr>
        <w:tc>
          <w:tcPr>
            <w:tcW w:w="1241" w:type="dxa"/>
            <w:tcBorders>
              <w:top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组成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A1D02">
              <w:rPr>
                <w:rFonts w:ascii="华文楷体" w:eastAsia="华文楷体" w:hAnsi="华文楷体" w:hint="eastAsia"/>
                <w:sz w:val="24"/>
                <w:szCs w:val="24"/>
              </w:rPr>
              <w:t>细辛、辛夷、苍术、白芷、冰片</w:t>
            </w:r>
            <w:r w:rsidR="00190747">
              <w:rPr>
                <w:rFonts w:ascii="华文楷体" w:eastAsia="华文楷体" w:hAnsi="华文楷体" w:hint="eastAsia"/>
                <w:sz w:val="24"/>
                <w:szCs w:val="24"/>
              </w:rPr>
              <w:t>等</w:t>
            </w:r>
          </w:p>
        </w:tc>
        <w:tc>
          <w:tcPr>
            <w:tcW w:w="1047" w:type="dxa"/>
            <w:vMerge/>
            <w:tcBorders>
              <w:left w:val="single" w:sz="4" w:space="0" w:color="auto"/>
            </w:tcBorders>
          </w:tcPr>
          <w:p w:rsidR="007D6064" w:rsidRPr="00EA1D02" w:rsidRDefault="007D6064" w:rsidP="00C96383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EA1D02" w:rsidRDefault="00F6305C" w:rsidP="00EA1D02">
      <w:pPr>
        <w:widowControl/>
        <w:shd w:val="clear" w:color="auto" w:fill="FFFFFF"/>
        <w:spacing w:line="408" w:lineRule="atLeast"/>
        <w:jc w:val="center"/>
        <w:rPr>
          <w:rFonts w:ascii="华文楷体" w:eastAsia="华文楷体" w:hAnsi="华文楷体" w:cs="宋体"/>
          <w:b/>
          <w:kern w:val="0"/>
          <w:sz w:val="24"/>
          <w:highlight w:val="yellow"/>
        </w:rPr>
      </w:pPr>
      <w:r>
        <w:rPr>
          <w:rFonts w:ascii="华文楷体" w:eastAsia="华文楷体" w:hAnsi="华文楷体" w:cs="宋体" w:hint="eastAsia"/>
          <w:b/>
          <w:noProof/>
          <w:kern w:val="0"/>
          <w:sz w:val="24"/>
        </w:rPr>
        <w:drawing>
          <wp:inline distT="0" distB="0" distL="0" distR="0">
            <wp:extent cx="3636576" cy="2724150"/>
            <wp:effectExtent l="19050" t="0" r="1974" b="0"/>
            <wp:docPr id="2" name="图片 2" descr="C:\Users\stor.XMMM\Desktop\端午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r.XMMM\Desktop\端午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576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05C" w:rsidRDefault="00F6305C" w:rsidP="00EA1D02">
      <w:pPr>
        <w:widowControl/>
        <w:shd w:val="clear" w:color="auto" w:fill="FFFFFF"/>
        <w:spacing w:line="408" w:lineRule="atLeast"/>
        <w:jc w:val="center"/>
        <w:rPr>
          <w:rFonts w:ascii="华文楷体" w:eastAsia="华文楷体" w:hAnsi="华文楷体" w:cs="宋体"/>
          <w:b/>
          <w:kern w:val="0"/>
          <w:sz w:val="24"/>
          <w:highlight w:val="yellow"/>
        </w:rPr>
      </w:pPr>
      <w:r>
        <w:rPr>
          <w:rFonts w:ascii="华文楷体" w:eastAsia="华文楷体" w:hAnsi="华文楷体" w:cs="宋体" w:hint="eastAsia"/>
          <w:b/>
          <w:noProof/>
          <w:kern w:val="0"/>
          <w:sz w:val="24"/>
        </w:rPr>
        <w:drawing>
          <wp:inline distT="0" distB="0" distL="0" distR="0">
            <wp:extent cx="3534853" cy="2647950"/>
            <wp:effectExtent l="19050" t="0" r="8447" b="0"/>
            <wp:docPr id="3" name="图片 3" descr="C:\Users\stor.XMMM\Desktop\端午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r.XMMM\Desktop\端午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853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064" w:rsidRPr="00C41BD4" w:rsidRDefault="00F6305C" w:rsidP="00C41BD4">
      <w:pPr>
        <w:widowControl/>
        <w:shd w:val="clear" w:color="auto" w:fill="FFFFFF"/>
        <w:spacing w:line="408" w:lineRule="atLeast"/>
        <w:jc w:val="center"/>
        <w:rPr>
          <w:rFonts w:ascii="华文楷体" w:eastAsia="华文楷体" w:hAnsi="华文楷体" w:cs="宋体"/>
          <w:b/>
          <w:kern w:val="0"/>
          <w:sz w:val="24"/>
          <w:highlight w:val="yellow"/>
        </w:rPr>
      </w:pPr>
      <w:r>
        <w:rPr>
          <w:rFonts w:ascii="华文楷体" w:eastAsia="华文楷体" w:hAnsi="华文楷体" w:cs="宋体" w:hint="eastAsia"/>
          <w:b/>
          <w:noProof/>
          <w:kern w:val="0"/>
          <w:sz w:val="24"/>
        </w:rPr>
        <w:lastRenderedPageBreak/>
        <w:drawing>
          <wp:inline distT="0" distB="0" distL="0" distR="0">
            <wp:extent cx="3715118" cy="2781300"/>
            <wp:effectExtent l="19050" t="0" r="0" b="0"/>
            <wp:docPr id="4" name="图片 4" descr="C:\Users\stor.XMMM\Desktop\端午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or.XMMM\Desktop\端午\图片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118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064" w:rsidRPr="00C41BD4" w:rsidSect="00E5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43" w:rsidRDefault="00D70043" w:rsidP="00304CB1">
      <w:r>
        <w:separator/>
      </w:r>
    </w:p>
  </w:endnote>
  <w:endnote w:type="continuationSeparator" w:id="1">
    <w:p w:rsidR="00D70043" w:rsidRDefault="00D70043" w:rsidP="0030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43" w:rsidRDefault="00D70043" w:rsidP="00304CB1">
      <w:r>
        <w:separator/>
      </w:r>
    </w:p>
  </w:footnote>
  <w:footnote w:type="continuationSeparator" w:id="1">
    <w:p w:rsidR="00D70043" w:rsidRDefault="00D70043" w:rsidP="00304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383"/>
    <w:rsid w:val="00011D1F"/>
    <w:rsid w:val="00112001"/>
    <w:rsid w:val="00190747"/>
    <w:rsid w:val="001927EA"/>
    <w:rsid w:val="001A4B68"/>
    <w:rsid w:val="00266A55"/>
    <w:rsid w:val="00304CB1"/>
    <w:rsid w:val="00360655"/>
    <w:rsid w:val="0038692C"/>
    <w:rsid w:val="003C7DF6"/>
    <w:rsid w:val="003F3075"/>
    <w:rsid w:val="005775BC"/>
    <w:rsid w:val="00590D24"/>
    <w:rsid w:val="0064142C"/>
    <w:rsid w:val="006422EC"/>
    <w:rsid w:val="006A2EBC"/>
    <w:rsid w:val="006C7FA5"/>
    <w:rsid w:val="007D6064"/>
    <w:rsid w:val="007E2404"/>
    <w:rsid w:val="0082183A"/>
    <w:rsid w:val="008931BE"/>
    <w:rsid w:val="009B1FDD"/>
    <w:rsid w:val="009E09D3"/>
    <w:rsid w:val="009F0585"/>
    <w:rsid w:val="00A22C89"/>
    <w:rsid w:val="00B242AB"/>
    <w:rsid w:val="00B67230"/>
    <w:rsid w:val="00C01316"/>
    <w:rsid w:val="00C07F80"/>
    <w:rsid w:val="00C41BD4"/>
    <w:rsid w:val="00C96383"/>
    <w:rsid w:val="00CE52CE"/>
    <w:rsid w:val="00D451D8"/>
    <w:rsid w:val="00D70043"/>
    <w:rsid w:val="00E51B67"/>
    <w:rsid w:val="00EA1D02"/>
    <w:rsid w:val="00F6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3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0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4C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4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4CB1"/>
    <w:rPr>
      <w:sz w:val="18"/>
      <w:szCs w:val="18"/>
    </w:rPr>
  </w:style>
  <w:style w:type="paragraph" w:styleId="a6">
    <w:name w:val="Normal (Web)"/>
    <w:basedOn w:val="a"/>
    <w:uiPriority w:val="99"/>
    <w:unhideWhenUsed/>
    <w:rsid w:val="00EA1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630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3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BFF8-94C8-490D-9420-FBD7ED0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3</cp:revision>
  <dcterms:created xsi:type="dcterms:W3CDTF">2020-06-08T08:24:00Z</dcterms:created>
  <dcterms:modified xsi:type="dcterms:W3CDTF">2020-06-08T08:24:00Z</dcterms:modified>
</cp:coreProperties>
</file>